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3841F6">
        <w:rPr>
          <w:rFonts w:ascii="Arial" w:hAnsi="Arial" w:cs="Arial"/>
          <w:b/>
          <w:color w:val="0070C0"/>
          <w:sz w:val="28"/>
          <w:szCs w:val="28"/>
        </w:rPr>
        <w:t>duben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E65F9" w:rsidRPr="001E65F9" w:rsidRDefault="00A10B1D" w:rsidP="001E65F9">
      <w:pPr>
        <w:pStyle w:val="Nadpis1"/>
        <w:shd w:val="clear" w:color="auto" w:fill="FFFFFF"/>
        <w:spacing w:before="0" w:line="276" w:lineRule="auto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Průmyslová výroba v eurozóně v únoru překvapivě klesla</w:t>
      </w:r>
    </w:p>
    <w:p w:rsidR="00A10B1D" w:rsidRPr="001E65F9" w:rsidRDefault="00A10B1D" w:rsidP="001E65F9">
      <w:pPr>
        <w:pStyle w:val="Nadpis1"/>
        <w:shd w:val="clear" w:color="auto" w:fill="FFFFFF"/>
        <w:spacing w:before="0" w:after="240" w:line="276" w:lineRule="auto"/>
        <w:rPr>
          <w:rFonts w:asciiTheme="minorBidi" w:eastAsia="Times New Roman" w:hAnsiTheme="minorBidi" w:cstheme="minorBidi"/>
          <w:b w:val="0"/>
          <w:bCs w:val="0"/>
          <w:color w:val="auto"/>
          <w:sz w:val="22"/>
          <w:szCs w:val="22"/>
        </w:rPr>
      </w:pPr>
      <w:r w:rsidRPr="001E65F9">
        <w:rPr>
          <w:rFonts w:asciiTheme="minorBidi" w:eastAsia="Times New Roman" w:hAnsiTheme="minorBidi" w:cstheme="minorBidi"/>
          <w:b w:val="0"/>
          <w:bCs w:val="0"/>
          <w:color w:val="auto"/>
          <w:sz w:val="22"/>
          <w:szCs w:val="22"/>
        </w:rPr>
        <w:t>(zdroj: Euroskop.cz)</w:t>
      </w:r>
    </w:p>
    <w:p w:rsidR="00A10B1D" w:rsidRPr="001E65F9" w:rsidRDefault="00A10B1D" w:rsidP="001E65F9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 xml:space="preserve">Průmyslová výroba v eurozóně v únoru překvapivě klesla o 0,3 procenta, zejména kvůli výrazně nižší produkci energie. Vyplývá to z dnešních údajů statistického úřadu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Eurostat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>. Analytici v anketě agentury Reuters v průměru očekávali, že výroba se proti předchozímu měsíci o 0,1 procenta zvýší.</w:t>
      </w:r>
    </w:p>
    <w:p w:rsidR="00A10B1D" w:rsidRPr="001E65F9" w:rsidRDefault="00A10B1D" w:rsidP="001E65F9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Produkce energie se propadla o 4,7 procenta, což zřejmě odráží mírné počasí. Výroba zboží krátkodobé spotřeby klesla o 1,1 procenta, zatímco produkce zboží dlouhodobé spotřeby stagnovala.</w:t>
      </w:r>
      <w:r w:rsid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Eurostat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navíc uvedl, že v lednu se průmyslová produkce v eurozóně zvýšila pouze o 0,3 procenta, místo původně ohlášeného nárůstu o 0,9 procenta. Slabé údaje z průmyslu kontrastují s příznivým vývojem nálady v podnikatelském sektoru a mezi investory.</w:t>
      </w:r>
    </w:p>
    <w:p w:rsidR="003702C5" w:rsidRPr="001E65F9" w:rsidRDefault="00A10B1D" w:rsidP="001E65F9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 xml:space="preserve">Podle průzkumu, který mezi nákupními manažery provedla společnost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Markit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, zažily podniky v eurozóně začátkem letošního roku nejlepší čtvrtletí za posledních šest let. Důvěra investorů v ekonomiku eurozóny se podle průzkumu společnosti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Sentix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v dubnu dostala na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novou nejvyšší úroveň za téměř deset let.</w:t>
      </w:r>
    </w:p>
    <w:p w:rsidR="003841F6" w:rsidRPr="001E65F9" w:rsidRDefault="003841F6" w:rsidP="001E65F9">
      <w:pPr>
        <w:pStyle w:val="Nadpis1"/>
        <w:spacing w:before="0" w:line="276" w:lineRule="auto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 xml:space="preserve">Závěrečná zpráva o podpůrných programech státní podpory pro </w:t>
      </w:r>
      <w:proofErr w:type="spellStart"/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VaVaI</w:t>
      </w:r>
      <w:proofErr w:type="spellEnd"/>
    </w:p>
    <w:p w:rsidR="003841F6" w:rsidRPr="001E65F9" w:rsidRDefault="003841F6" w:rsidP="001E65F9">
      <w:pPr>
        <w:shd w:val="clear" w:color="auto" w:fill="FFFFFF"/>
        <w:spacing w:after="240" w:line="276" w:lineRule="auto"/>
        <w:jc w:val="both"/>
        <w:rPr>
          <w:rStyle w:val="Datum8"/>
          <w:rFonts w:asciiTheme="minorBidi" w:eastAsia="Calibri" w:hAnsiTheme="minorBidi" w:cstheme="minorBidi"/>
          <w:b/>
          <w:iCs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(zdroj: web CZELO)</w:t>
      </w:r>
    </w:p>
    <w:p w:rsidR="003702C5" w:rsidRPr="001E65F9" w:rsidRDefault="003841F6" w:rsidP="001E65F9">
      <w:pPr>
        <w:pStyle w:val="Normlnweb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 xml:space="preserve">Evropská komise (DG RTD) zveřejnila závěrečnou zprávu o podpůrných programech státní podpory pro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VaVaI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(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State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aid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support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schemes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for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RDI in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the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EU's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international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competitors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the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fields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of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Science,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Research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and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Innovation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). Studie se zaměřuje na komparaci veřejné podpory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VaVaI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v EU a v devíti nečlenských zemích (Austrálie, Brazílie, Kanada, Čína, Indie, Japonsko, Rusko, Jižní Korea a USA), případové studie týkající se investic evropských společností do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VaVaI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mimo EU a mimoevropských společností v EU, jakož i komplexní přezkum pravidel státní podpory EU v období od 2008 do 2015. Studie dochází k závěru, že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 xml:space="preserve">současná pravidla státní podpory EU pro podporu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VaVaI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jsou příliš omezující a neberou dostatečně v úvahu zvláštní povahu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VaVaI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. Na základě těchto zjištění je ve zprávě uvedeno několik doporučení. </w:t>
      </w:r>
    </w:p>
    <w:p w:rsidR="003841F6" w:rsidRPr="001E65F9" w:rsidRDefault="003841F6" w:rsidP="001E65F9">
      <w:pPr>
        <w:pStyle w:val="Nadpis1"/>
        <w:spacing w:before="0" w:line="276" w:lineRule="auto"/>
        <w:jc w:val="both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EP schválil dodatečných 200 milionů eur pro Horizont 2020</w:t>
      </w:r>
    </w:p>
    <w:p w:rsidR="003841F6" w:rsidRPr="001E65F9" w:rsidRDefault="003841F6" w:rsidP="001E65F9">
      <w:pPr>
        <w:shd w:val="clear" w:color="auto" w:fill="FFFFFF"/>
        <w:spacing w:after="240" w:line="276" w:lineRule="auto"/>
        <w:jc w:val="both"/>
        <w:rPr>
          <w:rFonts w:asciiTheme="minorBidi" w:eastAsia="Calibri" w:hAnsiTheme="minorBidi" w:cstheme="minorBidi"/>
          <w:b/>
          <w:iCs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(zdroj: web CZELO)</w:t>
      </w:r>
    </w:p>
    <w:p w:rsidR="003702C5" w:rsidRPr="001E65F9" w:rsidRDefault="003841F6" w:rsidP="001E65F9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Evropský parlament schválil dodatečných 200 milionů eur pro program Horizont 2020 během dubnového plenárního zasedání ve Štrasburku. Rozhodnutí vejde v platnost po finálním souhlasu Rady EU, který se očekává v nejbližších týdnech. Dodatečné finance pro Horizont 2020 jsou součástí prostředků ve výši 6 miliard eur, které mají pomoci EU při řešení naléhavých problémů, jako je například migrační krize, posílení bezpečnosti a vytváření nových pracovních míst.</w:t>
      </w:r>
      <w:r w:rsidRPr="001E65F9">
        <w:rPr>
          <w:rStyle w:val="apple-converted-space"/>
          <w:rFonts w:asciiTheme="minorBidi" w:hAnsiTheme="minorBidi" w:cstheme="minorBidi"/>
          <w:sz w:val="22"/>
          <w:szCs w:val="22"/>
        </w:rPr>
        <w:t> </w:t>
      </w:r>
    </w:p>
    <w:p w:rsidR="001E65F9" w:rsidRPr="001E65F9" w:rsidRDefault="001E65F9" w:rsidP="001E65F9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Theme="minorBidi" w:hAnsiTheme="minorBidi" w:cstheme="minorBidi"/>
          <w:sz w:val="22"/>
          <w:szCs w:val="22"/>
        </w:rPr>
      </w:pPr>
    </w:p>
    <w:p w:rsidR="001E65F9" w:rsidRPr="001E65F9" w:rsidRDefault="001E65F9" w:rsidP="001E65F9">
      <w:pPr>
        <w:pStyle w:val="Normlnweb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1E65F9" w:rsidRPr="001E65F9" w:rsidRDefault="001E65F9" w:rsidP="001E65F9">
      <w:pPr>
        <w:pStyle w:val="Nadpis1"/>
        <w:spacing w:before="0" w:line="276" w:lineRule="auto"/>
        <w:jc w:val="both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lastRenderedPageBreak/>
        <w:t xml:space="preserve">Politická podpora výzkumné spolupráce po </w:t>
      </w:r>
      <w:proofErr w:type="spellStart"/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Brexitu</w:t>
      </w:r>
      <w:proofErr w:type="spellEnd"/>
    </w:p>
    <w:p w:rsidR="001E65F9" w:rsidRPr="001E65F9" w:rsidRDefault="001E65F9" w:rsidP="001E65F9">
      <w:pPr>
        <w:shd w:val="clear" w:color="auto" w:fill="FFFFFF"/>
        <w:spacing w:after="240" w:line="276" w:lineRule="auto"/>
        <w:jc w:val="both"/>
        <w:rPr>
          <w:rFonts w:asciiTheme="minorBidi" w:eastAsia="Calibri" w:hAnsiTheme="minorBidi" w:cstheme="minorBidi"/>
          <w:b/>
          <w:iCs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(zdroj: web CZELO)</w:t>
      </w:r>
    </w:p>
    <w:p w:rsidR="001E65F9" w:rsidRPr="001E65F9" w:rsidRDefault="001E65F9" w:rsidP="001E65F9">
      <w:pPr>
        <w:pStyle w:val="Normlnweb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 xml:space="preserve">Dne 22. března 2017 vystoupil na plenárním zasedání Výboru regionů v Bruselu Michel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Barnier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, hlavní vyjednávač EU v procesu vystoupení VB z EU.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Barnier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ve svém projevu zdůraznil ambici EU udržet a dále rozvíjet spolupráci s britskými univerzitami, výzkumnými institucemi a podniky a to i za nových finančně-právních podmínek. Ve stejném smyslu se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vyjadřuje také britská premiérka Theresa Mayová. Sdružení evropských univerzit (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European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Universities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Association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>) a sdružení univerzit Spojeného království (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Universities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UK, UUK) deklarovanou podporu vítají. S ohledem na navázání spolupráce na volný pohyb osob a např. nedávný vývoj účasti Švýcarska v H2020 je nicméně nutné počkat na konkrétní výsledky vyjednávání.</w:t>
      </w:r>
    </w:p>
    <w:p w:rsidR="003841F6" w:rsidRPr="001E65F9" w:rsidRDefault="003841F6" w:rsidP="001E65F9">
      <w:pPr>
        <w:pStyle w:val="Nadpis1"/>
        <w:spacing w:before="0" w:line="276" w:lineRule="auto"/>
        <w:jc w:val="both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 xml:space="preserve">Výsledky ERC </w:t>
      </w:r>
      <w:proofErr w:type="spellStart"/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Advanced</w:t>
      </w:r>
      <w:proofErr w:type="spellEnd"/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 xml:space="preserve"> Grant 2016</w:t>
      </w:r>
    </w:p>
    <w:p w:rsidR="006B54EB" w:rsidRPr="001E65F9" w:rsidRDefault="006B54EB" w:rsidP="001E65F9">
      <w:pPr>
        <w:shd w:val="clear" w:color="auto" w:fill="FFFFFF"/>
        <w:spacing w:after="240" w:line="276" w:lineRule="auto"/>
        <w:jc w:val="both"/>
        <w:rPr>
          <w:rFonts w:asciiTheme="minorBidi" w:eastAsia="Calibri" w:hAnsiTheme="minorBidi" w:cstheme="minorBidi"/>
          <w:b/>
          <w:iCs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(zdroj: web CZELO)</w:t>
      </w:r>
    </w:p>
    <w:p w:rsidR="003702C5" w:rsidRPr="001E65F9" w:rsidRDefault="003841F6" w:rsidP="001E65F9">
      <w:pPr>
        <w:pStyle w:val="Normlnweb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 xml:space="preserve">Evropská rada pro výzkum (ERC) zveřejnila výsledky výzvy grantů pro zkušené výzkumné pracovníky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Advanced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Grant (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AdG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>) 2016 dne 7. dubna 2017. Prostřednictvím grantů mají výzkumníci možnost realizovat své kreativní nápady, které mohou mít zásadní vliv na vědu, společnost a ekonomiku. ERC udělila 231 výzkumných grantů pro výzkumné pracovníky z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28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zemí ve výši 540 milionů eur, přičemž o grant se v minulém roce ucházelo 2 400 žadatelů. Mezi oceněnými výzkumníky je i český biolog Jiří Friml z rakouského vědeckého a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 xml:space="preserve">technologického institutu (IST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Austria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>), který získal pětileté financování svého projektu s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názvem: „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Tracing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Evolution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of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Auxin Transport and Polarity in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Plants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“. </w:t>
      </w:r>
    </w:p>
    <w:p w:rsidR="003841F6" w:rsidRPr="001E65F9" w:rsidRDefault="003841F6" w:rsidP="001E65F9">
      <w:pPr>
        <w:pStyle w:val="Nadpis1"/>
        <w:spacing w:before="0" w:line="276" w:lineRule="auto"/>
        <w:jc w:val="both"/>
        <w:rPr>
          <w:rFonts w:asciiTheme="minorBidi" w:hAnsiTheme="minorBidi" w:cstheme="minorBidi"/>
          <w:bCs w:val="0"/>
          <w:color w:val="0070C0"/>
          <w:sz w:val="22"/>
          <w:szCs w:val="22"/>
        </w:rPr>
      </w:pPr>
      <w:r w:rsidRPr="001E65F9">
        <w:rPr>
          <w:rFonts w:asciiTheme="minorBidi" w:hAnsiTheme="minorBidi" w:cstheme="minorBidi"/>
          <w:bCs w:val="0"/>
          <w:color w:val="0070C0"/>
          <w:sz w:val="22"/>
          <w:szCs w:val="22"/>
        </w:rPr>
        <w:t>Inovační dohoda k oběhovému hospodářství</w:t>
      </w:r>
    </w:p>
    <w:p w:rsidR="006B54EB" w:rsidRPr="001E65F9" w:rsidRDefault="006B54EB" w:rsidP="001E65F9">
      <w:pPr>
        <w:shd w:val="clear" w:color="auto" w:fill="FFFFFF"/>
        <w:spacing w:after="240" w:line="276" w:lineRule="auto"/>
        <w:jc w:val="both"/>
        <w:rPr>
          <w:rFonts w:asciiTheme="minorBidi" w:eastAsia="Calibri" w:hAnsiTheme="minorBidi" w:cstheme="minorBidi"/>
          <w:b/>
          <w:iCs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(zdroj: web CZELO)</w:t>
      </w:r>
    </w:p>
    <w:p w:rsidR="001E65F9" w:rsidRPr="001E65F9" w:rsidRDefault="003841F6" w:rsidP="001E65F9">
      <w:pPr>
        <w:pStyle w:val="Normlnweb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1E65F9">
        <w:rPr>
          <w:rFonts w:asciiTheme="minorBidi" w:hAnsiTheme="minorBidi" w:cstheme="minorBidi"/>
          <w:sz w:val="22"/>
          <w:szCs w:val="22"/>
        </w:rPr>
        <w:t>Dne 7. dubna 2017 uzavřela Evropská komise spolu se 14 partnery (národními a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regionálními státními orgány, univerzitami, vědeckými centry, inovátory a koncovými uživateli) Inovační dohodu o udržitelném využití technologie kombinované anaerobní membrány v oblasti čištění odpadních vod ("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Sustainable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Waste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Water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Treatment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Combining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Anaerobic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Membrane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Technology (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AnMbR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) and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Water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E65F9">
        <w:rPr>
          <w:rFonts w:asciiTheme="minorBidi" w:hAnsiTheme="minorBidi" w:cstheme="minorBidi"/>
          <w:sz w:val="22"/>
          <w:szCs w:val="22"/>
        </w:rPr>
        <w:t>Reuse</w:t>
      </w:r>
      <w:proofErr w:type="spellEnd"/>
      <w:r w:rsidRPr="001E65F9">
        <w:rPr>
          <w:rFonts w:asciiTheme="minorBidi" w:hAnsiTheme="minorBidi" w:cstheme="minorBidi"/>
          <w:sz w:val="22"/>
          <w:szCs w:val="22"/>
        </w:rPr>
        <w:t>").</w:t>
      </w:r>
      <w:r w:rsidRPr="001E65F9">
        <w:rPr>
          <w:rStyle w:val="apple-converted-space"/>
          <w:rFonts w:asciiTheme="minorBidi" w:hAnsiTheme="minorBidi" w:cstheme="minorBidi"/>
          <w:sz w:val="22"/>
          <w:szCs w:val="22"/>
        </w:rPr>
        <w:t> </w:t>
      </w:r>
      <w:hyperlink r:id="rId9" w:tgtFrame="_blank" w:history="1">
        <w:r w:rsidRPr="001E65F9">
          <w:rPr>
            <w:rStyle w:val="Hypertextovodkaz"/>
            <w:rFonts w:asciiTheme="minorBidi" w:hAnsiTheme="minorBidi" w:cstheme="minorBidi"/>
            <w:color w:val="auto"/>
            <w:sz w:val="22"/>
            <w:szCs w:val="22"/>
          </w:rPr>
          <w:t>Inovační dohoda</w:t>
        </w:r>
      </w:hyperlink>
      <w:r w:rsidRPr="001E65F9">
        <w:rPr>
          <w:rStyle w:val="apple-converted-space"/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je součástí balíčku oběhovému hospodářství. V rámci dohody byly stanoveny konkrétní kroky k</w:t>
      </w:r>
      <w:r w:rsidR="0013359E">
        <w:rPr>
          <w:rFonts w:asciiTheme="minorBidi" w:hAnsiTheme="minorBidi" w:cstheme="minorBidi"/>
          <w:sz w:val="22"/>
          <w:szCs w:val="22"/>
        </w:rPr>
        <w:t> </w:t>
      </w:r>
      <w:r w:rsidRPr="001E65F9">
        <w:rPr>
          <w:rFonts w:asciiTheme="minorBidi" w:hAnsiTheme="minorBidi" w:cstheme="minorBidi"/>
          <w:sz w:val="22"/>
          <w:szCs w:val="22"/>
        </w:rPr>
        <w:t>překonání regulačních bariér, které omez</w:t>
      </w:r>
      <w:r w:rsidR="001E65F9">
        <w:rPr>
          <w:rFonts w:asciiTheme="minorBidi" w:hAnsiTheme="minorBidi" w:cstheme="minorBidi"/>
          <w:sz w:val="22"/>
          <w:szCs w:val="22"/>
        </w:rPr>
        <w:t>ovaly inovátory v jejich úsilí.</w:t>
      </w:r>
    </w:p>
    <w:sectPr w:rsidR="001E65F9" w:rsidRPr="001E65F9" w:rsidSect="00D8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3E" w:rsidRDefault="0088323E">
      <w:r>
        <w:separator/>
      </w:r>
    </w:p>
  </w:endnote>
  <w:endnote w:type="continuationSeparator" w:id="0">
    <w:p w:rsidR="0088323E" w:rsidRDefault="0088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1" w:rsidRDefault="00545E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545E5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545E5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545E51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545E51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3E" w:rsidRDefault="0088323E">
      <w:r>
        <w:separator/>
      </w:r>
    </w:p>
  </w:footnote>
  <w:footnote w:type="continuationSeparator" w:id="0">
    <w:p w:rsidR="0088323E" w:rsidRDefault="0088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1" w:rsidRDefault="00545E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7EF735" wp14:editId="59DE74A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3A2D8D" wp14:editId="32F25DA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545E51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325</w:t>
          </w:r>
          <w:bookmarkStart w:id="0" w:name="_GoBack"/>
          <w:bookmarkEnd w:id="0"/>
          <w:r w:rsidR="005D07F1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5B0A"/>
    <w:rsid w:val="0013359E"/>
    <w:rsid w:val="00146B24"/>
    <w:rsid w:val="00151CAE"/>
    <w:rsid w:val="00170C2E"/>
    <w:rsid w:val="00172C2E"/>
    <w:rsid w:val="001B4B55"/>
    <w:rsid w:val="001C6253"/>
    <w:rsid w:val="001D59E0"/>
    <w:rsid w:val="001E65F9"/>
    <w:rsid w:val="0020502B"/>
    <w:rsid w:val="00214AF0"/>
    <w:rsid w:val="00231012"/>
    <w:rsid w:val="00244615"/>
    <w:rsid w:val="00256AAD"/>
    <w:rsid w:val="0027209D"/>
    <w:rsid w:val="002963F0"/>
    <w:rsid w:val="002A71C8"/>
    <w:rsid w:val="002D3727"/>
    <w:rsid w:val="00304769"/>
    <w:rsid w:val="00345FCD"/>
    <w:rsid w:val="003702C5"/>
    <w:rsid w:val="00372D4B"/>
    <w:rsid w:val="003841F6"/>
    <w:rsid w:val="003C0E36"/>
    <w:rsid w:val="003C70C6"/>
    <w:rsid w:val="00414F21"/>
    <w:rsid w:val="00451786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45E51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710A2"/>
    <w:rsid w:val="00871EEE"/>
    <w:rsid w:val="00880906"/>
    <w:rsid w:val="0088323E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863BE"/>
    <w:rsid w:val="00A93FE3"/>
    <w:rsid w:val="00AE6A22"/>
    <w:rsid w:val="00AF3DBE"/>
    <w:rsid w:val="00B05D2D"/>
    <w:rsid w:val="00B24B48"/>
    <w:rsid w:val="00B30D90"/>
    <w:rsid w:val="00B441FF"/>
    <w:rsid w:val="00B47FFC"/>
    <w:rsid w:val="00B5776A"/>
    <w:rsid w:val="00B705E6"/>
    <w:rsid w:val="00B72AB5"/>
    <w:rsid w:val="00B74474"/>
    <w:rsid w:val="00B76D66"/>
    <w:rsid w:val="00BB1CAC"/>
    <w:rsid w:val="00BB27B1"/>
    <w:rsid w:val="00BD5486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23779"/>
    <w:rsid w:val="00E413F6"/>
    <w:rsid w:val="00E43456"/>
    <w:rsid w:val="00E56D35"/>
    <w:rsid w:val="00E64072"/>
    <w:rsid w:val="00E81684"/>
    <w:rsid w:val="00E94579"/>
    <w:rsid w:val="00EB1C37"/>
    <w:rsid w:val="00EB2005"/>
    <w:rsid w:val="00ED247B"/>
    <w:rsid w:val="00EE7114"/>
    <w:rsid w:val="00EF3740"/>
    <w:rsid w:val="00F12B34"/>
    <w:rsid w:val="00F12B6B"/>
    <w:rsid w:val="00F23145"/>
    <w:rsid w:val="00F23154"/>
    <w:rsid w:val="00F37F8C"/>
    <w:rsid w:val="00F646B5"/>
    <w:rsid w:val="00F861DA"/>
    <w:rsid w:val="00FA6B3E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research/innovation-deals/index.cfm?pg=abou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E2C0-E379-4D27-92C9-6A99C3D1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4</cp:revision>
  <cp:lastPrinted>2017-04-13T06:54:00Z</cp:lastPrinted>
  <dcterms:created xsi:type="dcterms:W3CDTF">2017-04-13T07:39:00Z</dcterms:created>
  <dcterms:modified xsi:type="dcterms:W3CDTF">2017-04-19T11:47:00Z</dcterms:modified>
</cp:coreProperties>
</file>